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E9" w:rsidRPr="00E814B5" w:rsidRDefault="000523E9" w:rsidP="000523E9">
      <w:pPr>
        <w:spacing w:line="360" w:lineRule="auto"/>
        <w:jc w:val="center"/>
        <w:rPr>
          <w:rFonts w:ascii="黑体" w:eastAsia="黑体" w:hAnsi="黑体"/>
          <w:color w:val="FF0000"/>
          <w:sz w:val="44"/>
          <w:szCs w:val="44"/>
        </w:rPr>
      </w:pPr>
      <w:bookmarkStart w:id="0" w:name="_Toc29402717"/>
      <w:r w:rsidRPr="00E814B5">
        <w:rPr>
          <w:rFonts w:ascii="黑体" w:eastAsia="黑体" w:hAnsi="黑体" w:hint="eastAsia"/>
          <w:color w:val="FF0000"/>
          <w:sz w:val="44"/>
          <w:szCs w:val="44"/>
        </w:rPr>
        <w:t>浙 江 省 新 型 重 点 专 业 智 库</w:t>
      </w:r>
    </w:p>
    <w:p w:rsidR="000523E9" w:rsidRPr="00E814B5" w:rsidRDefault="000523E9" w:rsidP="000523E9">
      <w:pPr>
        <w:spacing w:line="360" w:lineRule="auto"/>
        <w:jc w:val="center"/>
        <w:rPr>
          <w:rFonts w:ascii="黑体" w:eastAsia="黑体" w:hAnsi="黑体"/>
          <w:color w:val="FF0000"/>
          <w:sz w:val="64"/>
          <w:szCs w:val="64"/>
        </w:rPr>
      </w:pPr>
      <w:r w:rsidRPr="00E814B5">
        <w:rPr>
          <w:rFonts w:ascii="黑体" w:eastAsia="黑体" w:hAnsi="黑体" w:hint="eastAsia"/>
          <w:color w:val="FF0000"/>
          <w:sz w:val="64"/>
          <w:szCs w:val="64"/>
        </w:rPr>
        <w:t>浙江工商大学浙商研究院</w:t>
      </w:r>
    </w:p>
    <w:p w:rsidR="000523E9" w:rsidRPr="00E814B5" w:rsidRDefault="000523E9" w:rsidP="000523E9">
      <w:pPr>
        <w:spacing w:line="360" w:lineRule="auto"/>
        <w:jc w:val="center"/>
        <w:rPr>
          <w:rFonts w:ascii="黑体" w:eastAsia="黑体" w:hAnsi="黑体"/>
          <w:color w:val="FF0000"/>
          <w:sz w:val="44"/>
          <w:szCs w:val="44"/>
        </w:rPr>
      </w:pPr>
      <w:r w:rsidRPr="00E814B5">
        <w:rPr>
          <w:rFonts w:ascii="黑体" w:eastAsia="黑体" w:hAnsi="黑体" w:hint="eastAsia"/>
          <w:color w:val="FF0000"/>
          <w:sz w:val="44"/>
          <w:szCs w:val="44"/>
        </w:rPr>
        <w:t>成 果 要 报</w:t>
      </w:r>
    </w:p>
    <w:p w:rsidR="000523E9" w:rsidRPr="00E814B5" w:rsidRDefault="000523E9" w:rsidP="000523E9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E814B5">
        <w:rPr>
          <w:rFonts w:ascii="黑体" w:eastAsia="黑体" w:hAnsi="黑体"/>
          <w:color w:val="FF0000"/>
          <w:sz w:val="32"/>
          <w:szCs w:val="32"/>
        </w:rPr>
        <w:t>年第期</w:t>
      </w:r>
    </w:p>
    <w:p w:rsidR="000523E9" w:rsidRPr="00E814B5" w:rsidRDefault="000523E9" w:rsidP="000523E9">
      <w:pPr>
        <w:rPr>
          <w:rFonts w:ascii="黑体" w:eastAsia="黑体" w:hAnsi="黑体"/>
          <w:color w:val="FF0000"/>
          <w:sz w:val="28"/>
          <w:szCs w:val="28"/>
        </w:rPr>
      </w:pPr>
      <w:r w:rsidRPr="00E814B5">
        <w:rPr>
          <w:rFonts w:ascii="黑体" w:eastAsia="黑体" w:hAnsi="黑体" w:hint="eastAsia"/>
          <w:color w:val="FF0000"/>
          <w:sz w:val="28"/>
          <w:szCs w:val="28"/>
        </w:rPr>
        <w:t>浙江工商大学浙商研究院编年月日</w:t>
      </w:r>
    </w:p>
    <w:p w:rsidR="000523E9" w:rsidRDefault="00100C5A" w:rsidP="000523E9">
      <w:r>
        <w:rPr>
          <w:noProof/>
        </w:rPr>
        <w:pict>
          <v:line id="直接连接符 1" o:spid="_x0000_s1026" style="position:absolute;left:0;text-align:left;z-index:251659264;visibility:visible" from="0,0" to="42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" strokeweight="1.25pt"/>
        </w:pict>
      </w:r>
    </w:p>
    <w:p w:rsidR="00E814B5" w:rsidRDefault="00E814B5" w:rsidP="00575492">
      <w:pPr>
        <w:spacing w:line="360" w:lineRule="auto"/>
        <w:jc w:val="center"/>
        <w:outlineLvl w:val="0"/>
        <w:rPr>
          <w:rFonts w:ascii="华文中宋" w:eastAsia="华文中宋" w:hAnsi="华文中宋"/>
          <w:b/>
          <w:bCs/>
          <w:sz w:val="36"/>
          <w:szCs w:val="36"/>
        </w:rPr>
      </w:pPr>
    </w:p>
    <w:p w:rsidR="002A0A3B" w:rsidRPr="002A0A3B" w:rsidRDefault="002A0A3B" w:rsidP="002A0A3B">
      <w:pPr>
        <w:spacing w:line="360" w:lineRule="auto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2A0A3B">
        <w:rPr>
          <w:rFonts w:ascii="黑体" w:eastAsia="黑体" w:hAnsi="黑体" w:hint="eastAsia"/>
          <w:b/>
          <w:bCs/>
          <w:sz w:val="36"/>
          <w:szCs w:val="36"/>
        </w:rPr>
        <w:t>关于我省率先实现碳达峰和碳中和</w:t>
      </w:r>
    </w:p>
    <w:p w:rsidR="002A0A3B" w:rsidRDefault="002A0A3B" w:rsidP="002A0A3B">
      <w:pPr>
        <w:spacing w:line="360" w:lineRule="auto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2A0A3B">
        <w:rPr>
          <w:rFonts w:ascii="黑体" w:eastAsia="黑体" w:hAnsi="黑体" w:hint="eastAsia"/>
          <w:b/>
          <w:bCs/>
          <w:sz w:val="36"/>
          <w:szCs w:val="36"/>
        </w:rPr>
        <w:t>的对策建议</w:t>
      </w:r>
    </w:p>
    <w:p w:rsidR="00DF632E" w:rsidRPr="00BB1F4E" w:rsidRDefault="00E814B5" w:rsidP="002A0A3B">
      <w:pPr>
        <w:spacing w:line="360" w:lineRule="auto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BB1F4E">
        <w:rPr>
          <w:rFonts w:ascii="黑体" w:eastAsia="黑体" w:hAnsi="黑体" w:hint="eastAsia"/>
          <w:b/>
          <w:bCs/>
          <w:sz w:val="36"/>
          <w:szCs w:val="36"/>
        </w:rPr>
        <w:t>标题</w:t>
      </w:r>
      <w:r w:rsidRPr="00BB1F4E">
        <w:rPr>
          <w:rFonts w:ascii="黑体" w:eastAsia="黑体" w:hAnsi="黑体"/>
          <w:b/>
          <w:bCs/>
          <w:sz w:val="36"/>
          <w:szCs w:val="36"/>
        </w:rPr>
        <w:t>（</w:t>
      </w:r>
      <w:r w:rsidR="00BB1F4E" w:rsidRPr="00BB1F4E">
        <w:rPr>
          <w:rFonts w:ascii="黑体" w:eastAsia="黑体" w:hAnsi="黑体" w:hint="eastAsia"/>
          <w:b/>
          <w:bCs/>
          <w:sz w:val="36"/>
          <w:szCs w:val="36"/>
        </w:rPr>
        <w:t>黑体</w:t>
      </w:r>
      <w:r w:rsidRPr="00BB1F4E">
        <w:rPr>
          <w:rFonts w:ascii="黑体" w:eastAsia="黑体" w:hAnsi="黑体"/>
          <w:b/>
          <w:bCs/>
          <w:sz w:val="36"/>
          <w:szCs w:val="36"/>
        </w:rPr>
        <w:t>，小二）</w:t>
      </w:r>
    </w:p>
    <w:bookmarkEnd w:id="0"/>
    <w:p w:rsidR="00575492" w:rsidRDefault="00E814B5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  <w:r>
        <w:rPr>
          <w:rFonts w:ascii="Times" w:eastAsia="仿宋" w:hAnsi="Times" w:cs="仿宋" w:hint="eastAsia"/>
          <w:sz w:val="32"/>
          <w:szCs w:val="32"/>
        </w:rPr>
        <w:t>正文：</w:t>
      </w:r>
      <w:r>
        <w:rPr>
          <w:rFonts w:ascii="Times" w:eastAsia="仿宋" w:hAnsi="Times" w:cs="仿宋"/>
          <w:sz w:val="32"/>
          <w:szCs w:val="32"/>
        </w:rPr>
        <w:t>仿宋，</w:t>
      </w:r>
      <w:r w:rsidR="00A16E7B">
        <w:rPr>
          <w:rFonts w:ascii="Times" w:eastAsia="仿宋" w:hAnsi="Times" w:cs="仿宋"/>
          <w:sz w:val="32"/>
          <w:szCs w:val="32"/>
        </w:rPr>
        <w:t>三</w:t>
      </w:r>
      <w:r>
        <w:rPr>
          <w:rFonts w:ascii="Times" w:eastAsia="仿宋" w:hAnsi="Times" w:cs="仿宋" w:hint="eastAsia"/>
          <w:sz w:val="32"/>
          <w:szCs w:val="32"/>
        </w:rPr>
        <w:t>号</w:t>
      </w:r>
      <w:r>
        <w:rPr>
          <w:rFonts w:ascii="Times" w:eastAsia="仿宋" w:hAnsi="Times" w:cs="仿宋"/>
          <w:sz w:val="32"/>
          <w:szCs w:val="32"/>
        </w:rPr>
        <w:t>，行间距</w:t>
      </w:r>
      <w:r>
        <w:rPr>
          <w:rFonts w:ascii="Times" w:eastAsia="仿宋" w:hAnsi="Times" w:cs="仿宋" w:hint="eastAsia"/>
          <w:sz w:val="32"/>
          <w:szCs w:val="32"/>
        </w:rPr>
        <w:t>1.5</w:t>
      </w:r>
      <w:r>
        <w:rPr>
          <w:rFonts w:ascii="Times" w:eastAsia="仿宋" w:hAnsi="Times" w:cs="仿宋" w:hint="eastAsia"/>
          <w:sz w:val="32"/>
          <w:szCs w:val="32"/>
        </w:rPr>
        <w:t>倍</w:t>
      </w:r>
      <w:r>
        <w:rPr>
          <w:rFonts w:ascii="Times" w:eastAsia="仿宋" w:hAnsi="Times" w:cs="仿宋"/>
          <w:sz w:val="32"/>
          <w:szCs w:val="32"/>
        </w:rPr>
        <w:t>。</w:t>
      </w:r>
    </w:p>
    <w:p w:rsidR="00E814B5" w:rsidRDefault="00A16E7B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  <w:r>
        <w:rPr>
          <w:rFonts w:ascii="Times" w:eastAsia="仿宋" w:hAnsi="Times" w:cs="仿宋" w:hint="eastAsia"/>
          <w:sz w:val="32"/>
          <w:szCs w:val="32"/>
        </w:rPr>
        <w:t>一级标题</w:t>
      </w:r>
      <w:r>
        <w:rPr>
          <w:rFonts w:ascii="Times" w:eastAsia="仿宋" w:hAnsi="Times" w:cs="仿宋"/>
          <w:sz w:val="32"/>
          <w:szCs w:val="32"/>
        </w:rPr>
        <w:t>：黑体，</w:t>
      </w:r>
      <w:r>
        <w:rPr>
          <w:rFonts w:ascii="Times" w:eastAsia="仿宋" w:hAnsi="Times" w:cs="仿宋" w:hint="eastAsia"/>
          <w:sz w:val="32"/>
          <w:szCs w:val="32"/>
        </w:rPr>
        <w:t>三号，</w:t>
      </w:r>
      <w:r>
        <w:rPr>
          <w:rFonts w:ascii="Times" w:eastAsia="仿宋" w:hAnsi="Times" w:cs="仿宋"/>
          <w:sz w:val="32"/>
          <w:szCs w:val="32"/>
        </w:rPr>
        <w:t>行间距</w:t>
      </w:r>
      <w:r>
        <w:rPr>
          <w:rFonts w:ascii="Times" w:eastAsia="仿宋" w:hAnsi="Times" w:cs="仿宋" w:hint="eastAsia"/>
          <w:sz w:val="32"/>
          <w:szCs w:val="32"/>
        </w:rPr>
        <w:t>1.5</w:t>
      </w:r>
      <w:r>
        <w:rPr>
          <w:rFonts w:ascii="Times" w:eastAsia="仿宋" w:hAnsi="Times" w:cs="仿宋" w:hint="eastAsia"/>
          <w:sz w:val="32"/>
          <w:szCs w:val="32"/>
        </w:rPr>
        <w:t>倍</w:t>
      </w:r>
      <w:r>
        <w:rPr>
          <w:rFonts w:ascii="Times" w:eastAsia="仿宋" w:hAnsi="Times" w:cs="仿宋"/>
          <w:sz w:val="32"/>
          <w:szCs w:val="32"/>
        </w:rPr>
        <w:t>。</w:t>
      </w:r>
    </w:p>
    <w:p w:rsidR="00E814B5" w:rsidRDefault="00E814B5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2A0A3B" w:rsidRPr="00252554" w:rsidRDefault="002A0A3B" w:rsidP="002A0A3B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2A0A3B" w:rsidRPr="002A0A3B" w:rsidRDefault="002A0A3B" w:rsidP="002A0A3B">
      <w:pPr>
        <w:spacing w:line="560" w:lineRule="exact"/>
        <w:ind w:firstLineChars="200" w:firstLine="640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摘要</w:t>
      </w:r>
      <w:r w:rsidRPr="002A0A3B">
        <w:rPr>
          <w:rFonts w:ascii="Times" w:eastAsia="仿宋" w:hAnsi="Times" w:cs="仿宋"/>
          <w:sz w:val="32"/>
          <w:szCs w:val="32"/>
        </w:rPr>
        <w:t>：</w:t>
      </w:r>
      <w:r w:rsidRPr="002A0A3B">
        <w:rPr>
          <w:rFonts w:ascii="Times" w:eastAsia="仿宋" w:hAnsi="Times" w:cs="仿宋" w:hint="eastAsia"/>
          <w:sz w:val="32"/>
          <w:szCs w:val="32"/>
        </w:rPr>
        <w:t>为贯彻落实十九届五中全会和中央经济工作会议关于碳达峰、碳中和工作的要求，本文提出，我省应按照建设“重要窗口”要求，确立率先实现碳达峰和碳中和的目标体系和时间表</w:t>
      </w:r>
      <w:r w:rsidRPr="002A0A3B">
        <w:rPr>
          <w:rFonts w:ascii="Times" w:eastAsia="仿宋" w:hAnsi="Times" w:cs="仿宋"/>
          <w:sz w:val="32"/>
          <w:szCs w:val="32"/>
        </w:rPr>
        <w:t>、</w:t>
      </w:r>
      <w:r w:rsidRPr="002A0A3B">
        <w:rPr>
          <w:rFonts w:ascii="Times" w:eastAsia="仿宋" w:hAnsi="Times" w:cs="仿宋" w:hint="eastAsia"/>
          <w:sz w:val="32"/>
          <w:szCs w:val="32"/>
        </w:rPr>
        <w:t>路线图，确保</w:t>
      </w:r>
      <w:r w:rsidRPr="002A0A3B">
        <w:rPr>
          <w:rFonts w:ascii="Times" w:eastAsia="仿宋" w:hAnsi="Times" w:cs="仿宋"/>
          <w:sz w:val="32"/>
          <w:szCs w:val="32"/>
        </w:rPr>
        <w:t>我省碳达峰、碳中和工作走在全国前列。</w:t>
      </w:r>
      <w:r w:rsidRPr="002A0A3B">
        <w:rPr>
          <w:rFonts w:ascii="Times" w:eastAsia="仿宋" w:hAnsi="Times" w:cs="仿宋" w:hint="eastAsia"/>
          <w:sz w:val="32"/>
          <w:szCs w:val="32"/>
        </w:rPr>
        <w:t>主要观点</w:t>
      </w:r>
      <w:r w:rsidRPr="002A0A3B">
        <w:rPr>
          <w:rFonts w:ascii="Times" w:eastAsia="仿宋" w:hAnsi="Times" w:cs="仿宋"/>
          <w:sz w:val="32"/>
          <w:szCs w:val="32"/>
        </w:rPr>
        <w:t>如下：</w:t>
      </w:r>
    </w:p>
    <w:p w:rsidR="002A0A3B" w:rsidRPr="002A0A3B" w:rsidRDefault="002A0A3B" w:rsidP="002A0A3B">
      <w:pPr>
        <w:numPr>
          <w:ilvl w:val="0"/>
          <w:numId w:val="1"/>
        </w:numPr>
        <w:spacing w:line="560" w:lineRule="exact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对标</w:t>
      </w:r>
      <w:r w:rsidRPr="002A0A3B">
        <w:rPr>
          <w:rFonts w:ascii="Times" w:eastAsia="仿宋" w:hAnsi="Times" w:cs="仿宋"/>
          <w:sz w:val="32"/>
          <w:szCs w:val="32"/>
        </w:rPr>
        <w:t>“</w:t>
      </w:r>
      <w:r w:rsidRPr="002A0A3B">
        <w:rPr>
          <w:rFonts w:ascii="Times" w:eastAsia="仿宋" w:hAnsi="Times" w:cs="仿宋" w:hint="eastAsia"/>
          <w:sz w:val="32"/>
          <w:szCs w:val="32"/>
        </w:rPr>
        <w:t>重要</w:t>
      </w:r>
      <w:r w:rsidRPr="002A0A3B">
        <w:rPr>
          <w:rFonts w:ascii="Times" w:eastAsia="仿宋" w:hAnsi="Times" w:cs="仿宋"/>
          <w:sz w:val="32"/>
          <w:szCs w:val="32"/>
        </w:rPr>
        <w:t>窗口</w:t>
      </w:r>
      <w:r w:rsidRPr="002A0A3B">
        <w:rPr>
          <w:rFonts w:ascii="Times" w:eastAsia="仿宋" w:hAnsi="Times" w:cs="仿宋"/>
          <w:sz w:val="32"/>
          <w:szCs w:val="32"/>
        </w:rPr>
        <w:t>”</w:t>
      </w:r>
      <w:r w:rsidRPr="002A0A3B">
        <w:rPr>
          <w:rFonts w:ascii="Times" w:eastAsia="仿宋" w:hAnsi="Times" w:cs="仿宋" w:hint="eastAsia"/>
          <w:sz w:val="32"/>
          <w:szCs w:val="32"/>
        </w:rPr>
        <w:t>的</w:t>
      </w:r>
      <w:r w:rsidRPr="002A0A3B">
        <w:rPr>
          <w:rFonts w:ascii="Times" w:eastAsia="仿宋" w:hAnsi="Times" w:cs="仿宋"/>
          <w:sz w:val="32"/>
          <w:szCs w:val="32"/>
        </w:rPr>
        <w:t>目标定位，</w:t>
      </w:r>
      <w:r w:rsidRPr="002A0A3B">
        <w:rPr>
          <w:rFonts w:ascii="Times" w:eastAsia="仿宋" w:hAnsi="Times" w:cs="仿宋" w:hint="eastAsia"/>
          <w:sz w:val="32"/>
          <w:szCs w:val="32"/>
        </w:rPr>
        <w:t>我省碳达峰的时间可以考虑比全国提前</w:t>
      </w:r>
      <w:r w:rsidRPr="002A0A3B">
        <w:rPr>
          <w:rFonts w:ascii="Times" w:eastAsia="仿宋" w:hAnsi="Times" w:cs="仿宋" w:hint="eastAsia"/>
          <w:sz w:val="32"/>
          <w:szCs w:val="32"/>
        </w:rPr>
        <w:t>1-2</w:t>
      </w:r>
      <w:r w:rsidRPr="002A0A3B">
        <w:rPr>
          <w:rFonts w:ascii="Times" w:eastAsia="仿宋" w:hAnsi="Times" w:cs="仿宋" w:hint="eastAsia"/>
          <w:sz w:val="32"/>
          <w:szCs w:val="32"/>
        </w:rPr>
        <w:t>年，即</w:t>
      </w:r>
      <w:r w:rsidRPr="002A0A3B">
        <w:rPr>
          <w:rFonts w:ascii="Times" w:eastAsia="仿宋" w:hAnsi="Times" w:cs="仿宋" w:hint="eastAsia"/>
          <w:sz w:val="32"/>
          <w:szCs w:val="32"/>
        </w:rPr>
        <w:t>2028-2029</w:t>
      </w:r>
      <w:r w:rsidRPr="002A0A3B">
        <w:rPr>
          <w:rFonts w:ascii="Times" w:eastAsia="仿宋" w:hAnsi="Times" w:cs="仿宋" w:hint="eastAsia"/>
          <w:sz w:val="32"/>
          <w:szCs w:val="32"/>
        </w:rPr>
        <w:t>年；碳中和的时间，可与世界发达经济体保持一致，定为</w:t>
      </w:r>
      <w:r w:rsidRPr="002A0A3B">
        <w:rPr>
          <w:rFonts w:ascii="Times" w:eastAsia="仿宋" w:hAnsi="Times" w:cs="仿宋" w:hint="eastAsia"/>
          <w:sz w:val="32"/>
          <w:szCs w:val="32"/>
        </w:rPr>
        <w:t>2050</w:t>
      </w:r>
      <w:r w:rsidRPr="002A0A3B">
        <w:rPr>
          <w:rFonts w:ascii="Times" w:eastAsia="仿宋" w:hAnsi="Times" w:cs="仿宋" w:hint="eastAsia"/>
          <w:sz w:val="32"/>
          <w:szCs w:val="32"/>
        </w:rPr>
        <w:t>年。</w:t>
      </w:r>
    </w:p>
    <w:p w:rsidR="002A0A3B" w:rsidRPr="002A0A3B" w:rsidRDefault="002A0A3B" w:rsidP="002A0A3B">
      <w:pPr>
        <w:numPr>
          <w:ilvl w:val="0"/>
          <w:numId w:val="1"/>
        </w:numPr>
        <w:spacing w:line="560" w:lineRule="exact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构建“减碳源、增碳汇，建市场、促交易”的工作体</w:t>
      </w:r>
      <w:r w:rsidRPr="002A0A3B">
        <w:rPr>
          <w:rFonts w:ascii="Times" w:eastAsia="仿宋" w:hAnsi="Times" w:cs="仿宋" w:hint="eastAsia"/>
          <w:sz w:val="32"/>
          <w:szCs w:val="32"/>
        </w:rPr>
        <w:lastRenderedPageBreak/>
        <w:t>系，制定碳排放总量控制行动计划，实施重点产业重点企业碳减排行动计划，制定基于碳排放基数的重点行业和重点企业碳减排的“减排行业清单”“减排企业清单”和“减排责任分担”。</w:t>
      </w:r>
    </w:p>
    <w:p w:rsidR="002A0A3B" w:rsidRPr="002A0A3B" w:rsidRDefault="002A0A3B" w:rsidP="002A0A3B">
      <w:pPr>
        <w:numPr>
          <w:ilvl w:val="0"/>
          <w:numId w:val="1"/>
        </w:numPr>
        <w:spacing w:line="560" w:lineRule="exact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实施碳汇能力提升行动计划，通过林种改造、林木蓄积量的提升以及城市森林的建设等努力提高碳汇能力</w:t>
      </w:r>
      <w:r w:rsidRPr="002A0A3B">
        <w:rPr>
          <w:rFonts w:ascii="Times" w:eastAsia="仿宋" w:hAnsi="Times" w:cs="仿宋"/>
          <w:sz w:val="32"/>
          <w:szCs w:val="32"/>
        </w:rPr>
        <w:t>；</w:t>
      </w:r>
      <w:r w:rsidRPr="002A0A3B">
        <w:rPr>
          <w:rFonts w:ascii="Times" w:eastAsia="仿宋" w:hAnsi="Times" w:cs="仿宋" w:hint="eastAsia"/>
          <w:sz w:val="32"/>
          <w:szCs w:val="32"/>
        </w:rPr>
        <w:t>建立碳排放权和碳汇一体化的交易机制。</w:t>
      </w:r>
    </w:p>
    <w:p w:rsidR="002A0A3B" w:rsidRPr="002A0A3B" w:rsidRDefault="002A0A3B" w:rsidP="002A0A3B">
      <w:pPr>
        <w:numPr>
          <w:ilvl w:val="0"/>
          <w:numId w:val="1"/>
        </w:numPr>
        <w:spacing w:line="560" w:lineRule="exact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发挥</w:t>
      </w:r>
      <w:r w:rsidRPr="002A0A3B">
        <w:rPr>
          <w:rFonts w:ascii="Times" w:eastAsia="仿宋" w:hAnsi="Times" w:cs="仿宋"/>
          <w:sz w:val="32"/>
          <w:szCs w:val="32"/>
        </w:rPr>
        <w:t>体制机制优势，</w:t>
      </w:r>
      <w:r w:rsidRPr="002A0A3B">
        <w:rPr>
          <w:rFonts w:ascii="Times" w:eastAsia="仿宋" w:hAnsi="Times" w:cs="仿宋" w:hint="eastAsia"/>
          <w:sz w:val="32"/>
          <w:szCs w:val="32"/>
        </w:rPr>
        <w:t>通过专班化运作、检测体系建设、一体化交易市场建设、科技创新、动态考核、整体智治等手段，确保我省碳达峰、碳中和各项工作顺利推进。</w:t>
      </w:r>
    </w:p>
    <w:p w:rsidR="002A0A3B" w:rsidRPr="002A0A3B" w:rsidRDefault="002A0A3B" w:rsidP="002A0A3B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2A0A3B" w:rsidRPr="00252554" w:rsidRDefault="002A0A3B" w:rsidP="00252554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252554">
        <w:rPr>
          <w:rFonts w:ascii="黑体" w:eastAsia="黑体" w:hAnsi="黑体" w:cs="仿宋" w:hint="eastAsia"/>
          <w:sz w:val="32"/>
          <w:szCs w:val="32"/>
        </w:rPr>
        <w:t>一、对标“重要窗口”目标</w:t>
      </w:r>
      <w:r w:rsidRPr="00252554">
        <w:rPr>
          <w:rFonts w:ascii="黑体" w:eastAsia="黑体" w:hAnsi="黑体" w:cs="仿宋"/>
          <w:sz w:val="32"/>
          <w:szCs w:val="32"/>
        </w:rPr>
        <w:t>定位</w:t>
      </w:r>
      <w:r w:rsidRPr="00252554">
        <w:rPr>
          <w:rFonts w:ascii="黑体" w:eastAsia="黑体" w:hAnsi="黑体" w:cs="仿宋" w:hint="eastAsia"/>
          <w:sz w:val="32"/>
          <w:szCs w:val="32"/>
        </w:rPr>
        <w:t>，确立率先实现碳达峰和碳中和的目标体系</w:t>
      </w:r>
    </w:p>
    <w:p w:rsidR="002A0A3B" w:rsidRPr="002A0A3B" w:rsidRDefault="002A0A3B" w:rsidP="00F427A1">
      <w:pPr>
        <w:spacing w:line="560" w:lineRule="exact"/>
        <w:ind w:firstLineChars="200" w:firstLine="640"/>
        <w:rPr>
          <w:rFonts w:ascii="Times" w:eastAsia="仿宋" w:hAnsi="Times" w:cs="仿宋"/>
          <w:sz w:val="32"/>
          <w:szCs w:val="32"/>
        </w:rPr>
      </w:pPr>
      <w:r w:rsidRPr="002A0A3B">
        <w:rPr>
          <w:rFonts w:ascii="Times" w:eastAsia="仿宋" w:hAnsi="Times" w:cs="仿宋" w:hint="eastAsia"/>
          <w:sz w:val="32"/>
          <w:szCs w:val="32"/>
        </w:rPr>
        <w:t>习近平总书记在第七十五届联合国大会一般性辩论上庄严承诺：“中国将提高国家自主贡献力量，采取更加有力</w:t>
      </w:r>
    </w:p>
    <w:p w:rsidR="002A0A3B" w:rsidRPr="002A0A3B" w:rsidRDefault="002A0A3B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E814B5" w:rsidRDefault="00E814B5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E814B5" w:rsidRDefault="00E814B5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</w:p>
    <w:p w:rsidR="00E814B5" w:rsidRDefault="00674FA0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  <w:r>
        <w:rPr>
          <w:rFonts w:ascii="Times" w:eastAsia="仿宋" w:hAnsi="Times" w:cs="仿宋" w:hint="eastAsia"/>
          <w:sz w:val="32"/>
          <w:szCs w:val="32"/>
        </w:rPr>
        <w:t>年月日</w:t>
      </w:r>
    </w:p>
    <w:p w:rsidR="003636B2" w:rsidRDefault="003636B2" w:rsidP="00575492">
      <w:pPr>
        <w:spacing w:line="560" w:lineRule="exact"/>
        <w:rPr>
          <w:rFonts w:ascii="Times" w:eastAsia="仿宋" w:hAnsi="Times" w:cs="仿宋"/>
          <w:sz w:val="32"/>
          <w:szCs w:val="32"/>
        </w:rPr>
      </w:pPr>
      <w:bookmarkStart w:id="1" w:name="_GoBack"/>
      <w:bookmarkEnd w:id="1"/>
    </w:p>
    <w:p w:rsidR="00107E7A" w:rsidRDefault="00674FA0">
      <w:pPr>
        <w:rPr>
          <w:rFonts w:ascii="Times" w:eastAsia="仿宋" w:hAnsi="Times" w:cs="仿宋"/>
          <w:sz w:val="32"/>
          <w:szCs w:val="32"/>
        </w:rPr>
      </w:pPr>
      <w:r>
        <w:rPr>
          <w:rFonts w:ascii="Times" w:eastAsia="仿宋" w:hAnsi="Times" w:cs="仿宋" w:hint="eastAsia"/>
          <w:sz w:val="32"/>
          <w:szCs w:val="32"/>
        </w:rPr>
        <w:t>建议人</w:t>
      </w:r>
      <w:r>
        <w:rPr>
          <w:rFonts w:ascii="Times" w:eastAsia="仿宋" w:hAnsi="Times" w:cs="仿宋"/>
          <w:sz w:val="32"/>
          <w:szCs w:val="32"/>
        </w:rPr>
        <w:t>简介：</w:t>
      </w:r>
      <w:r>
        <w:rPr>
          <w:rFonts w:ascii="Times" w:eastAsia="仿宋" w:hAnsi="Times" w:cs="仿宋" w:hint="eastAsia"/>
          <w:sz w:val="32"/>
          <w:szCs w:val="32"/>
        </w:rPr>
        <w:t>其中</w:t>
      </w:r>
      <w:r>
        <w:rPr>
          <w:rFonts w:ascii="Times" w:eastAsia="仿宋" w:hAnsi="Times" w:cs="仿宋"/>
          <w:sz w:val="32"/>
          <w:szCs w:val="32"/>
        </w:rPr>
        <w:t>必须</w:t>
      </w:r>
      <w:r>
        <w:rPr>
          <w:rFonts w:ascii="Times" w:eastAsia="仿宋" w:hAnsi="Times" w:cs="仿宋" w:hint="eastAsia"/>
          <w:sz w:val="32"/>
          <w:szCs w:val="32"/>
        </w:rPr>
        <w:t>注明</w:t>
      </w:r>
      <w:r>
        <w:rPr>
          <w:rFonts w:ascii="Times" w:eastAsia="仿宋" w:hAnsi="Times" w:cs="仿宋"/>
          <w:sz w:val="32"/>
          <w:szCs w:val="32"/>
        </w:rPr>
        <w:t>浙商研究院</w:t>
      </w:r>
      <w:r>
        <w:rPr>
          <w:rFonts w:ascii="Times" w:eastAsia="仿宋" w:hAnsi="Times" w:cs="仿宋" w:hint="eastAsia"/>
          <w:sz w:val="32"/>
          <w:szCs w:val="32"/>
        </w:rPr>
        <w:t>研究员</w:t>
      </w:r>
      <w:r>
        <w:rPr>
          <w:rFonts w:ascii="Times" w:eastAsia="仿宋" w:hAnsi="Times" w:cs="仿宋"/>
          <w:sz w:val="32"/>
          <w:szCs w:val="32"/>
        </w:rPr>
        <w:t>XXX</w:t>
      </w:r>
    </w:p>
    <w:p w:rsidR="00674FA0" w:rsidRDefault="00674FA0">
      <w:r>
        <w:rPr>
          <w:rFonts w:ascii="Times" w:eastAsia="仿宋" w:hAnsi="Times" w:cs="仿宋" w:hint="eastAsia"/>
          <w:sz w:val="32"/>
          <w:szCs w:val="32"/>
        </w:rPr>
        <w:t>联系电话</w:t>
      </w:r>
      <w:r w:rsidR="001E3D2F">
        <w:rPr>
          <w:rFonts w:ascii="Times" w:eastAsia="仿宋" w:hAnsi="Times" w:cs="仿宋" w:hint="eastAsia"/>
          <w:sz w:val="32"/>
          <w:szCs w:val="32"/>
        </w:rPr>
        <w:t>：</w:t>
      </w:r>
    </w:p>
    <w:sectPr w:rsidR="00674FA0" w:rsidSect="0010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56" w:rsidRDefault="001C7F56" w:rsidP="00575492">
      <w:r>
        <w:separator/>
      </w:r>
    </w:p>
  </w:endnote>
  <w:endnote w:type="continuationSeparator" w:id="1">
    <w:p w:rsidR="001C7F56" w:rsidRDefault="001C7F56" w:rsidP="0057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56" w:rsidRDefault="001C7F56" w:rsidP="00575492">
      <w:r>
        <w:separator/>
      </w:r>
    </w:p>
  </w:footnote>
  <w:footnote w:type="continuationSeparator" w:id="1">
    <w:p w:rsidR="001C7F56" w:rsidRDefault="001C7F56" w:rsidP="00575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ADF"/>
    <w:multiLevelType w:val="hybridMultilevel"/>
    <w:tmpl w:val="EDD0ED8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8FD"/>
    <w:rsid w:val="000327B6"/>
    <w:rsid w:val="000523E9"/>
    <w:rsid w:val="000D032A"/>
    <w:rsid w:val="000D3D6C"/>
    <w:rsid w:val="000E0E76"/>
    <w:rsid w:val="00100C5A"/>
    <w:rsid w:val="00101ED8"/>
    <w:rsid w:val="00107E7A"/>
    <w:rsid w:val="00122043"/>
    <w:rsid w:val="001B2E7E"/>
    <w:rsid w:val="001B62F8"/>
    <w:rsid w:val="001C57B3"/>
    <w:rsid w:val="001C7F56"/>
    <w:rsid w:val="001E3D2F"/>
    <w:rsid w:val="00226B42"/>
    <w:rsid w:val="002378EA"/>
    <w:rsid w:val="00252554"/>
    <w:rsid w:val="002619C5"/>
    <w:rsid w:val="002A0A3B"/>
    <w:rsid w:val="003636B2"/>
    <w:rsid w:val="003D2BE2"/>
    <w:rsid w:val="003D3676"/>
    <w:rsid w:val="003F1C6D"/>
    <w:rsid w:val="0040302B"/>
    <w:rsid w:val="00422F0A"/>
    <w:rsid w:val="0043760A"/>
    <w:rsid w:val="00460E48"/>
    <w:rsid w:val="004E4134"/>
    <w:rsid w:val="004F60D8"/>
    <w:rsid w:val="00512543"/>
    <w:rsid w:val="00575492"/>
    <w:rsid w:val="00592B34"/>
    <w:rsid w:val="005B450C"/>
    <w:rsid w:val="005D38FD"/>
    <w:rsid w:val="005E7F23"/>
    <w:rsid w:val="005F5136"/>
    <w:rsid w:val="005F54A4"/>
    <w:rsid w:val="00611BE9"/>
    <w:rsid w:val="00642074"/>
    <w:rsid w:val="0064794F"/>
    <w:rsid w:val="00674FA0"/>
    <w:rsid w:val="006C0130"/>
    <w:rsid w:val="006D1C7B"/>
    <w:rsid w:val="007327DF"/>
    <w:rsid w:val="00772CC4"/>
    <w:rsid w:val="007B7D7B"/>
    <w:rsid w:val="0085194F"/>
    <w:rsid w:val="00860C27"/>
    <w:rsid w:val="008E2A72"/>
    <w:rsid w:val="00946C1F"/>
    <w:rsid w:val="009514F7"/>
    <w:rsid w:val="00A02E72"/>
    <w:rsid w:val="00A11147"/>
    <w:rsid w:val="00A11482"/>
    <w:rsid w:val="00A16E7B"/>
    <w:rsid w:val="00A37169"/>
    <w:rsid w:val="00A52BAF"/>
    <w:rsid w:val="00A846D1"/>
    <w:rsid w:val="00A852D2"/>
    <w:rsid w:val="00A925AC"/>
    <w:rsid w:val="00B55AF6"/>
    <w:rsid w:val="00B65743"/>
    <w:rsid w:val="00BB1F4E"/>
    <w:rsid w:val="00BB7EDF"/>
    <w:rsid w:val="00BD166A"/>
    <w:rsid w:val="00C27B33"/>
    <w:rsid w:val="00C53BA1"/>
    <w:rsid w:val="00CB3E4D"/>
    <w:rsid w:val="00D57523"/>
    <w:rsid w:val="00D916FB"/>
    <w:rsid w:val="00DB149E"/>
    <w:rsid w:val="00DD52DA"/>
    <w:rsid w:val="00DF4D4D"/>
    <w:rsid w:val="00DF632E"/>
    <w:rsid w:val="00DF64D3"/>
    <w:rsid w:val="00E745E1"/>
    <w:rsid w:val="00E814B5"/>
    <w:rsid w:val="00E83438"/>
    <w:rsid w:val="00EA7571"/>
    <w:rsid w:val="00F427A1"/>
    <w:rsid w:val="00F62835"/>
    <w:rsid w:val="00F75385"/>
    <w:rsid w:val="00F8532B"/>
    <w:rsid w:val="00F87B30"/>
    <w:rsid w:val="00FC36FD"/>
    <w:rsid w:val="00FE47F4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4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7DF"/>
    <w:rPr>
      <w:sz w:val="18"/>
      <w:szCs w:val="18"/>
    </w:rPr>
  </w:style>
  <w:style w:type="paragraph" w:styleId="a6">
    <w:name w:val="Normal (Web)"/>
    <w:basedOn w:val="a"/>
    <w:uiPriority w:val="99"/>
    <w:unhideWhenUsed/>
    <w:rsid w:val="00A92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1857-8B3A-42CB-A10C-D373D7E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fc</dc:creator>
  <cp:lastModifiedBy>PC</cp:lastModifiedBy>
  <cp:revision>2</cp:revision>
  <dcterms:created xsi:type="dcterms:W3CDTF">2022-03-18T06:56:00Z</dcterms:created>
  <dcterms:modified xsi:type="dcterms:W3CDTF">2022-03-18T06:56:00Z</dcterms:modified>
</cp:coreProperties>
</file>